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4A6D01" w:rsidRDefault="000F6511">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Coverage for Li-Fraumeni syndrome whole body MRI</w:t>
      </w:r>
    </w:p>
    <w:p w14:paraId="00000002" w14:textId="77777777" w:rsidR="004A6D01" w:rsidRDefault="000F6511">
      <w:pPr>
        <w:pStyle w:val="norm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[Insert policy info here]</w:t>
      </w:r>
    </w:p>
    <w:p w14:paraId="00000003" w14:textId="77777777" w:rsidR="004A6D01" w:rsidRDefault="000F6511">
      <w:pPr>
        <w:pStyle w:val="normal0"/>
        <w:rPr>
          <w:rFonts w:ascii="Times New Roman" w:eastAsia="Times New Roman" w:hAnsi="Times New Roman" w:cs="Times New Roman"/>
          <w:sz w:val="24"/>
          <w:szCs w:val="24"/>
        </w:rPr>
      </w:pPr>
      <w:bookmarkStart w:id="0" w:name="_GoBack"/>
      <w:r>
        <w:rPr>
          <w:rFonts w:ascii="Times New Roman" w:eastAsia="Times New Roman" w:hAnsi="Times New Roman" w:cs="Times New Roman"/>
          <w:sz w:val="24"/>
          <w:szCs w:val="24"/>
        </w:rPr>
        <w:t xml:space="preserve"> </w:t>
      </w:r>
    </w:p>
    <w:bookmarkEnd w:id="0"/>
    <w:p w14:paraId="00000004" w14:textId="77777777" w:rsidR="004A6D01" w:rsidRDefault="000F6511">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To Whom It May Concern:</w:t>
      </w:r>
    </w:p>
    <w:p w14:paraId="00000005" w14:textId="77777777" w:rsidR="004A6D01" w:rsidRDefault="000F6511">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6" w14:textId="77777777" w:rsidR="004A6D01" w:rsidRDefault="000F6511">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This letter is written on behalf of [</w:t>
      </w:r>
      <w:r>
        <w:rPr>
          <w:rFonts w:ascii="Times New Roman" w:eastAsia="Times New Roman" w:hAnsi="Times New Roman" w:cs="Times New Roman"/>
          <w:i/>
          <w:sz w:val="24"/>
          <w:szCs w:val="24"/>
        </w:rPr>
        <w:t xml:space="preserve">patient name] </w:t>
      </w:r>
      <w:r>
        <w:rPr>
          <w:rFonts w:ascii="Times New Roman" w:eastAsia="Times New Roman" w:hAnsi="Times New Roman" w:cs="Times New Roman"/>
          <w:sz w:val="24"/>
          <w:szCs w:val="24"/>
        </w:rPr>
        <w:t xml:space="preserve">regarding the decision to deny coverage for whole body MRI (wbMRI). Know that sufficient evidence exists that whole-body MRI is necessary for optimal care and should be covered. </w:t>
      </w:r>
    </w:p>
    <w:p w14:paraId="00000007" w14:textId="77777777" w:rsidR="004A6D01" w:rsidRDefault="000F6511">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8" w14:textId="77777777" w:rsidR="004A6D01" w:rsidRDefault="000F6511">
      <w:pPr>
        <w:pStyle w:val="normal0"/>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 xml:space="preserve">LFS is a rare hereditary cancer predisposition syndrome caused by germline mutations in the </w:t>
      </w:r>
      <w:r>
        <w:rPr>
          <w:rFonts w:ascii="Times New Roman" w:eastAsia="Times New Roman" w:hAnsi="Times New Roman" w:cs="Times New Roman"/>
          <w:i/>
          <w:sz w:val="24"/>
          <w:szCs w:val="24"/>
        </w:rPr>
        <w:t xml:space="preserve">TP53 </w:t>
      </w:r>
      <w:r>
        <w:rPr>
          <w:rFonts w:ascii="Times New Roman" w:eastAsia="Times New Roman" w:hAnsi="Times New Roman" w:cs="Times New Roman"/>
          <w:sz w:val="24"/>
          <w:szCs w:val="24"/>
        </w:rPr>
        <w:t xml:space="preserve">gene. While the most frequently occurring cancers in LFS include sarcoma (soft-tissue and osteosarcoma), adrenocortical carcinoma, brain tumors, and early-onset breast cancers, risks for other cancers such as those of the thyroid, kidney, lung, gastrointestinal tract, and leukemias, among others, are also increased. It is widely recommended that individuals with LFS undergo comprehensive cancer screening including whole-body MRI, brain MRI, breast MRI, mammogram, bloodwork, abdominal sonogram, and upper and lower endoscopy for detection of cancers at early stages when they are most treatable and offer the best survival outcomes. </w:t>
      </w:r>
      <w:r>
        <w:rPr>
          <w:rFonts w:ascii="Times New Roman" w:eastAsia="Times New Roman" w:hAnsi="Times New Roman" w:cs="Times New Roman"/>
          <w:b/>
          <w:sz w:val="24"/>
          <w:szCs w:val="24"/>
        </w:rPr>
        <w:t>It has been demonstrated that wbMRI is key to early cancer detection in this populatio</w:t>
      </w:r>
      <w:r>
        <w:rPr>
          <w:rFonts w:ascii="Times New Roman" w:eastAsia="Times New Roman" w:hAnsi="Times New Roman" w:cs="Times New Roman"/>
          <w:b/>
          <w:sz w:val="24"/>
          <w:szCs w:val="24"/>
          <w:highlight w:val="white"/>
        </w:rPr>
        <w:t>n</w:t>
      </w:r>
      <w:r>
        <w:rPr>
          <w:rFonts w:ascii="Times New Roman" w:eastAsia="Times New Roman" w:hAnsi="Times New Roman" w:cs="Times New Roman"/>
          <w:b/>
          <w:sz w:val="24"/>
          <w:szCs w:val="24"/>
          <w:highlight w:val="white"/>
          <w:vertAlign w:val="superscript"/>
        </w:rPr>
        <w:t>1</w:t>
      </w:r>
      <w:r>
        <w:rPr>
          <w:rFonts w:ascii="Times New Roman" w:eastAsia="Times New Roman" w:hAnsi="Times New Roman" w:cs="Times New Roman"/>
          <w:b/>
          <w:sz w:val="24"/>
          <w:szCs w:val="24"/>
          <w:highlight w:val="white"/>
        </w:rPr>
        <w:t xml:space="preserve">. </w:t>
      </w:r>
    </w:p>
    <w:p w14:paraId="00000009" w14:textId="77777777" w:rsidR="004A6D01" w:rsidRDefault="000F6511">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A" w14:textId="77777777" w:rsidR="004A6D01" w:rsidRDefault="000F6511">
      <w:pPr>
        <w:pStyle w:val="normal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Nearly 100% of individuals with LFS will develop cancer over their lifetimes</w:t>
      </w:r>
      <w:r>
        <w:rPr>
          <w:rFonts w:ascii="Times New Roman" w:eastAsia="Times New Roman" w:hAnsi="Times New Roman" w:cs="Times New Roman"/>
          <w:sz w:val="24"/>
          <w:szCs w:val="24"/>
        </w:rPr>
        <w:t>, many of them during childhood an</w:t>
      </w:r>
      <w:r>
        <w:rPr>
          <w:rFonts w:ascii="Times New Roman" w:eastAsia="Times New Roman" w:hAnsi="Times New Roman" w:cs="Times New Roman"/>
          <w:sz w:val="24"/>
          <w:szCs w:val="24"/>
          <w:highlight w:val="white"/>
        </w:rPr>
        <w:t>d early adulthood</w:t>
      </w:r>
      <w:r>
        <w:rPr>
          <w:rFonts w:ascii="Times New Roman" w:eastAsia="Times New Roman" w:hAnsi="Times New Roman" w:cs="Times New Roman"/>
          <w:sz w:val="24"/>
          <w:szCs w:val="24"/>
          <w:highlight w:val="white"/>
          <w:vertAlign w:val="superscript"/>
        </w:rPr>
        <w:t>2</w:t>
      </w:r>
      <w:r>
        <w:rPr>
          <w:rFonts w:ascii="Times New Roman" w:eastAsia="Times New Roman" w:hAnsi="Times New Roman" w:cs="Times New Roman"/>
          <w:sz w:val="24"/>
          <w:szCs w:val="24"/>
          <w:highlight w:val="white"/>
        </w:rPr>
        <w:t xml:space="preserve">. In addition, </w:t>
      </w:r>
      <w:r>
        <w:rPr>
          <w:rFonts w:ascii="Times New Roman" w:eastAsia="Times New Roman" w:hAnsi="Times New Roman" w:cs="Times New Roman"/>
          <w:b/>
          <w:sz w:val="24"/>
          <w:szCs w:val="24"/>
          <w:highlight w:val="white"/>
        </w:rPr>
        <w:t>individuals with LFS have a high risk of developing multiple different cancers</w:t>
      </w:r>
      <w:r>
        <w:rPr>
          <w:rFonts w:ascii="Times New Roman" w:eastAsia="Times New Roman" w:hAnsi="Times New Roman" w:cs="Times New Roman"/>
          <w:sz w:val="24"/>
          <w:szCs w:val="24"/>
          <w:highlight w:val="white"/>
        </w:rPr>
        <w:t>, with approximately 50% of those who survive their first cancer going on to develop a second</w:t>
      </w:r>
      <w:r>
        <w:rPr>
          <w:rFonts w:ascii="Times New Roman" w:eastAsia="Times New Roman" w:hAnsi="Times New Roman" w:cs="Times New Roman"/>
          <w:sz w:val="24"/>
          <w:szCs w:val="24"/>
          <w:highlight w:val="white"/>
          <w:vertAlign w:val="superscript"/>
        </w:rPr>
        <w:t>2</w:t>
      </w:r>
      <w:r>
        <w:rPr>
          <w:rFonts w:ascii="Times New Roman" w:eastAsia="Times New Roman" w:hAnsi="Times New Roman" w:cs="Times New Roman"/>
          <w:sz w:val="24"/>
          <w:szCs w:val="24"/>
          <w:highlight w:val="white"/>
        </w:rPr>
        <w:t>. A 2010 analysis of 105 Dutch families with LFS found a 4-fold relative risk for developing cancer in these families compared with the population rate</w:t>
      </w:r>
      <w:r>
        <w:rPr>
          <w:rFonts w:ascii="Times New Roman" w:eastAsia="Times New Roman" w:hAnsi="Times New Roman" w:cs="Times New Roman"/>
          <w:sz w:val="24"/>
          <w:szCs w:val="24"/>
          <w:highlight w:val="white"/>
          <w:vertAlign w:val="superscript"/>
        </w:rPr>
        <w:t>3</w:t>
      </w:r>
      <w:r>
        <w:rPr>
          <w:rFonts w:ascii="Times New Roman" w:eastAsia="Times New Roman" w:hAnsi="Times New Roman" w:cs="Times New Roman"/>
          <w:sz w:val="24"/>
          <w:szCs w:val="24"/>
          <w:highlight w:val="white"/>
        </w:rPr>
        <w:t>.</w:t>
      </w:r>
    </w:p>
    <w:p w14:paraId="0000000B" w14:textId="77777777" w:rsidR="004A6D01" w:rsidRDefault="004A6D01">
      <w:pPr>
        <w:pStyle w:val="normal0"/>
        <w:rPr>
          <w:rFonts w:ascii="Times New Roman" w:eastAsia="Times New Roman" w:hAnsi="Times New Roman" w:cs="Times New Roman"/>
          <w:sz w:val="24"/>
          <w:szCs w:val="24"/>
        </w:rPr>
      </w:pPr>
    </w:p>
    <w:p w14:paraId="0000000C" w14:textId="77777777" w:rsidR="004A6D01" w:rsidRDefault="000F6511">
      <w:pPr>
        <w:pStyle w:val="normal0"/>
        <w:rPr>
          <w:rFonts w:ascii="Times New Roman" w:eastAsia="Times New Roman" w:hAnsi="Times New Roman" w:cs="Times New Roman"/>
          <w:sz w:val="24"/>
          <w:szCs w:val="24"/>
          <w:highlight w:val="cyan"/>
        </w:rPr>
      </w:pPr>
      <w:r>
        <w:rPr>
          <w:rFonts w:ascii="Times New Roman" w:eastAsia="Times New Roman" w:hAnsi="Times New Roman" w:cs="Times New Roman"/>
          <w:b/>
          <w:sz w:val="24"/>
          <w:szCs w:val="24"/>
        </w:rPr>
        <w:t>With the above-mentioned risks, LFS is a syndrome in which cancer surveillance is unequivocally justified.</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A recent meta-analysis of wbMRI-based surveillance in individuals with LFS demonstrates that baseline wbMRI identified asymptomatic cancers in 7% of the patients undergoing screening, illustrating the feasibility of early cancer detection in L</w:t>
      </w:r>
      <w:r>
        <w:rPr>
          <w:rFonts w:ascii="Times New Roman" w:eastAsia="Times New Roman" w:hAnsi="Times New Roman" w:cs="Times New Roman"/>
          <w:sz w:val="24"/>
          <w:szCs w:val="24"/>
          <w:highlight w:val="white"/>
        </w:rPr>
        <w:t>FS</w:t>
      </w:r>
      <w:r>
        <w:rPr>
          <w:rFonts w:ascii="Times New Roman" w:eastAsia="Times New Roman" w:hAnsi="Times New Roman" w:cs="Times New Roman"/>
          <w:sz w:val="24"/>
          <w:szCs w:val="24"/>
          <w:highlight w:val="white"/>
          <w:vertAlign w:val="superscript"/>
        </w:rPr>
        <w:t>1</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The 35 cancers detected in 34 individuals described were all detected with wbMRI; no other screening modalities were analyzed in this study. A recent UK study detected malignant neoplasms in 14% of individuals with LFS at their baseline wbMRI suggesting that the detection rate for new malignancies with wbMRI may be higher in some population</w:t>
      </w:r>
      <w:r>
        <w:rPr>
          <w:rFonts w:ascii="Times New Roman" w:eastAsia="Times New Roman" w:hAnsi="Times New Roman" w:cs="Times New Roman"/>
          <w:sz w:val="24"/>
          <w:szCs w:val="24"/>
          <w:highlight w:val="white"/>
        </w:rPr>
        <w:t>s</w:t>
      </w:r>
      <w:r>
        <w:rPr>
          <w:rFonts w:ascii="Times New Roman" w:eastAsia="Times New Roman" w:hAnsi="Times New Roman" w:cs="Times New Roman"/>
          <w:sz w:val="24"/>
          <w:szCs w:val="24"/>
          <w:highlight w:val="white"/>
          <w:vertAlign w:val="superscript"/>
        </w:rPr>
        <w:t>4</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Viliani et al analyzed 10 years of follow-up of a cohort of LFS patients; </w:t>
      </w:r>
      <w:r>
        <w:rPr>
          <w:rFonts w:ascii="Times New Roman" w:eastAsia="Times New Roman" w:hAnsi="Times New Roman" w:cs="Times New Roman"/>
          <w:b/>
          <w:sz w:val="24"/>
          <w:szCs w:val="24"/>
        </w:rPr>
        <w:t>o</w:t>
      </w:r>
      <w:r>
        <w:rPr>
          <w:rFonts w:ascii="Times New Roman" w:eastAsia="Times New Roman" w:hAnsi="Times New Roman" w:cs="Times New Roman"/>
          <w:b/>
          <w:sz w:val="24"/>
          <w:szCs w:val="24"/>
          <w:highlight w:val="white"/>
        </w:rPr>
        <w:t>f the tumors detected through screening, approximately 28% of malignant tumors were detected by wbMRI. wbMRI detected a higher proportion of malignant tumors than any other modality in the LFS screening protocol</w:t>
      </w:r>
      <w:r>
        <w:rPr>
          <w:rFonts w:ascii="Times New Roman" w:eastAsia="Times New Roman" w:hAnsi="Times New Roman" w:cs="Times New Roman"/>
          <w:b/>
          <w:sz w:val="24"/>
          <w:szCs w:val="24"/>
          <w:highlight w:val="white"/>
          <w:vertAlign w:val="superscript"/>
        </w:rPr>
        <w:t>5</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xml:space="preserve">Furthermore, </w:t>
      </w:r>
      <w:r>
        <w:rPr>
          <w:rFonts w:ascii="Times New Roman" w:eastAsia="Times New Roman" w:hAnsi="Times New Roman" w:cs="Times New Roman"/>
          <w:sz w:val="24"/>
          <w:szCs w:val="24"/>
        </w:rPr>
        <w:t>several recent analyses among patients with LFS have found over-diagnosis and unnecessary treatment of indolent lesions to be uncommon</w:t>
      </w:r>
      <w:r>
        <w:rPr>
          <w:rFonts w:ascii="Times New Roman" w:eastAsia="Times New Roman" w:hAnsi="Times New Roman" w:cs="Times New Roman"/>
          <w:sz w:val="24"/>
          <w:szCs w:val="24"/>
          <w:vertAlign w:val="superscript"/>
        </w:rPr>
        <w:t>6-8</w:t>
      </w:r>
      <w:r>
        <w:rPr>
          <w:rFonts w:ascii="Times New Roman" w:eastAsia="Times New Roman" w:hAnsi="Times New Roman" w:cs="Times New Roman"/>
          <w:sz w:val="24"/>
          <w:szCs w:val="24"/>
        </w:rPr>
        <w:t>.</w:t>
      </w:r>
    </w:p>
    <w:p w14:paraId="0000000D" w14:textId="77777777" w:rsidR="004A6D01" w:rsidRDefault="000F6511">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Pre-symptomatic cancer surveillance has been found to be cost-effective for patients with LFS and germline </w:t>
      </w:r>
      <w:r>
        <w:rPr>
          <w:rFonts w:ascii="Times New Roman" w:eastAsia="Times New Roman" w:hAnsi="Times New Roman" w:cs="Times New Roman"/>
          <w:b/>
          <w:i/>
          <w:sz w:val="24"/>
          <w:szCs w:val="24"/>
        </w:rPr>
        <w:t xml:space="preserve">TP53 </w:t>
      </w:r>
      <w:r>
        <w:rPr>
          <w:rFonts w:ascii="Times New Roman" w:eastAsia="Times New Roman" w:hAnsi="Times New Roman" w:cs="Times New Roman"/>
          <w:b/>
          <w:sz w:val="24"/>
          <w:szCs w:val="24"/>
        </w:rPr>
        <w:t>pathogenic variants</w:t>
      </w:r>
      <w:r>
        <w:rPr>
          <w:rFonts w:ascii="Times New Roman" w:eastAsia="Times New Roman" w:hAnsi="Times New Roman" w:cs="Times New Roman"/>
          <w:sz w:val="24"/>
          <w:szCs w:val="24"/>
        </w:rPr>
        <w:t xml:space="preserve"> with a mean cost of $117,102 and 27 life years </w:t>
      </w:r>
      <w:r>
        <w:rPr>
          <w:rFonts w:ascii="Times New Roman" w:eastAsia="Times New Roman" w:hAnsi="Times New Roman" w:cs="Times New Roman"/>
          <w:sz w:val="24"/>
          <w:szCs w:val="24"/>
        </w:rPr>
        <w:lastRenderedPageBreak/>
        <w:t>for surveillance with wbMRI compared to a mean cost of $46,496 and 23 life years for a non-surveillance appro</w:t>
      </w:r>
      <w:r>
        <w:rPr>
          <w:rFonts w:ascii="Times New Roman" w:eastAsia="Times New Roman" w:hAnsi="Times New Roman" w:cs="Times New Roman"/>
          <w:sz w:val="24"/>
          <w:szCs w:val="24"/>
          <w:highlight w:val="white"/>
        </w:rPr>
        <w:t>ach</w:t>
      </w:r>
      <w:r>
        <w:rPr>
          <w:rFonts w:ascii="Times New Roman" w:eastAsia="Times New Roman" w:hAnsi="Times New Roman" w:cs="Times New Roman"/>
          <w:sz w:val="24"/>
          <w:szCs w:val="24"/>
          <w:highlight w:val="white"/>
          <w:vertAlign w:val="superscript"/>
        </w:rPr>
        <w:t>8</w:t>
      </w:r>
      <w:r>
        <w:rPr>
          <w:rFonts w:ascii="Times New Roman" w:eastAsia="Times New Roman" w:hAnsi="Times New Roman" w:cs="Times New Roman"/>
          <w:sz w:val="24"/>
          <w:szCs w:val="24"/>
          <w:highlight w:val="white"/>
        </w:rPr>
        <w:t>. W</w:t>
      </w:r>
      <w:r>
        <w:rPr>
          <w:rFonts w:ascii="Times New Roman" w:eastAsia="Times New Roman" w:hAnsi="Times New Roman" w:cs="Times New Roman"/>
          <w:sz w:val="24"/>
          <w:szCs w:val="24"/>
        </w:rPr>
        <w:t xml:space="preserve">hen measured against the commonly accepted willingness-to-pay threshold of $100,000 per life-year gained by third-party insurers, </w:t>
      </w:r>
      <w:r>
        <w:rPr>
          <w:rFonts w:ascii="Times New Roman" w:eastAsia="Times New Roman" w:hAnsi="Times New Roman" w:cs="Times New Roman"/>
          <w:b/>
          <w:sz w:val="24"/>
          <w:szCs w:val="24"/>
        </w:rPr>
        <w:t>the surveillance strategy that includes wbMRI has a 98% probability of being the most cost-effective option for early cancer detection for individuals with LFS and one that improves clinical outcomes</w:t>
      </w:r>
      <w:r>
        <w:rPr>
          <w:rFonts w:ascii="Times New Roman" w:eastAsia="Times New Roman" w:hAnsi="Times New Roman" w:cs="Times New Roman"/>
          <w:b/>
          <w:sz w:val="24"/>
          <w:szCs w:val="24"/>
          <w:highlight w:val="white"/>
          <w:vertAlign w:val="superscript"/>
        </w:rPr>
        <w:t>9</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Furthermore, the ability to screen for multiple cancers with a single examination in patients with LFS not only reduces the number of individual imaging tests required, but also the number of patient visits to an imaging service, thereby reducing related costs</w:t>
      </w:r>
      <w:r>
        <w:rPr>
          <w:rFonts w:ascii="Times New Roman" w:eastAsia="Times New Roman" w:hAnsi="Times New Roman" w:cs="Times New Roman"/>
          <w:sz w:val="24"/>
          <w:szCs w:val="24"/>
          <w:vertAlign w:val="superscript"/>
        </w:rPr>
        <w:t>10,11</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rPr>
        <w:t xml:space="preserve"> </w:t>
      </w:r>
    </w:p>
    <w:p w14:paraId="0000000E" w14:textId="77777777" w:rsidR="004A6D01" w:rsidRDefault="000F6511">
      <w:pPr>
        <w:pStyle w:val="normal0"/>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 xml:space="preserve">The Li Fraumeni Syndrome Association’s board of directors and its medical advisors have determined there is sufﬁcient evidence to recommend that in addition to regular physical exams and other investigations, that all patients diagnosed with Li-Fraumeni syndrome (LFS) receive annual rapid wbMRI scans.  </w:t>
      </w:r>
    </w:p>
    <w:p w14:paraId="0000000F" w14:textId="77777777" w:rsidR="004A6D01" w:rsidRDefault="000F6511">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increasingly robust evidence demonstrating the reduction in cancer-related mortality and improved survival associated with wbMRI for LFS</w:t>
      </w:r>
      <w:r>
        <w:rPr>
          <w:rFonts w:ascii="Times New Roman" w:eastAsia="Times New Roman" w:hAnsi="Times New Roman" w:cs="Times New Roman"/>
          <w:sz w:val="24"/>
          <w:szCs w:val="24"/>
          <w:highlight w:val="white"/>
          <w:vertAlign w:val="superscript"/>
        </w:rPr>
        <w:t>5</w:t>
      </w:r>
      <w:r>
        <w:rPr>
          <w:rFonts w:ascii="Times New Roman" w:eastAsia="Times New Roman" w:hAnsi="Times New Roman" w:cs="Times New Roman"/>
          <w:sz w:val="24"/>
          <w:szCs w:val="24"/>
        </w:rPr>
        <w:t>. We believe the body of evidence demonstrating the feasibility of wbMRI to detect early resectable cancers in LFS patients is more than sufficient to support the coverage of wbMRI for [</w:t>
      </w:r>
      <w:r>
        <w:rPr>
          <w:rFonts w:ascii="Times New Roman" w:eastAsia="Times New Roman" w:hAnsi="Times New Roman" w:cs="Times New Roman"/>
          <w:i/>
          <w:sz w:val="24"/>
          <w:szCs w:val="24"/>
        </w:rPr>
        <w:t>patient name</w:t>
      </w:r>
      <w:r>
        <w:rPr>
          <w:rFonts w:ascii="Times New Roman" w:eastAsia="Times New Roman" w:hAnsi="Times New Roman" w:cs="Times New Roman"/>
          <w:sz w:val="24"/>
          <w:szCs w:val="24"/>
        </w:rPr>
        <w:t>]. The CPT code(s) used for billing are [</w:t>
      </w:r>
      <w:r>
        <w:rPr>
          <w:rFonts w:ascii="Times New Roman" w:eastAsia="Times New Roman" w:hAnsi="Times New Roman" w:cs="Times New Roman"/>
          <w:i/>
          <w:sz w:val="24"/>
          <w:szCs w:val="24"/>
        </w:rPr>
        <w:t>CPT code(s)</w:t>
      </w:r>
      <w:r>
        <w:rPr>
          <w:rFonts w:ascii="Times New Roman" w:eastAsia="Times New Roman" w:hAnsi="Times New Roman" w:cs="Times New Roman"/>
          <w:sz w:val="24"/>
          <w:szCs w:val="24"/>
        </w:rPr>
        <w:t>]. If you have any questions regarding this request or need further information please contact us at [</w:t>
      </w:r>
      <w:r>
        <w:rPr>
          <w:rFonts w:ascii="Times New Roman" w:eastAsia="Times New Roman" w:hAnsi="Times New Roman" w:cs="Times New Roman"/>
          <w:i/>
          <w:sz w:val="24"/>
          <w:szCs w:val="24"/>
        </w:rPr>
        <w:t>contact information</w:t>
      </w:r>
      <w:r>
        <w:rPr>
          <w:rFonts w:ascii="Times New Roman" w:eastAsia="Times New Roman" w:hAnsi="Times New Roman" w:cs="Times New Roman"/>
          <w:sz w:val="24"/>
          <w:szCs w:val="24"/>
        </w:rPr>
        <w:t>].</w:t>
      </w:r>
    </w:p>
    <w:p w14:paraId="00000010" w14:textId="77777777" w:rsidR="004A6D01" w:rsidRDefault="000F6511">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00000011" w14:textId="77777777" w:rsidR="004A6D01" w:rsidRDefault="000F6511">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Name</w:t>
      </w:r>
      <w:r>
        <w:rPr>
          <w:rFonts w:ascii="Times New Roman" w:eastAsia="Times New Roman" w:hAnsi="Times New Roman" w:cs="Times New Roman"/>
          <w:sz w:val="24"/>
          <w:szCs w:val="24"/>
        </w:rPr>
        <w:t>]</w:t>
      </w:r>
    </w:p>
    <w:p w14:paraId="00000012" w14:textId="77777777" w:rsidR="004A6D01" w:rsidRDefault="004A6D01">
      <w:pPr>
        <w:pStyle w:val="normal0"/>
        <w:spacing w:before="240" w:after="240"/>
        <w:rPr>
          <w:rFonts w:ascii="Times New Roman" w:eastAsia="Times New Roman" w:hAnsi="Times New Roman" w:cs="Times New Roman"/>
          <w:sz w:val="24"/>
          <w:szCs w:val="24"/>
        </w:rPr>
      </w:pPr>
    </w:p>
    <w:p w14:paraId="00000013" w14:textId="77777777" w:rsidR="004A6D01" w:rsidRDefault="000F6511">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References</w:t>
      </w:r>
    </w:p>
    <w:p w14:paraId="00000014" w14:textId="77777777" w:rsidR="004A6D01" w:rsidRDefault="000F6511">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5" w14:textId="77777777" w:rsidR="004A6D01" w:rsidRDefault="000F6511">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Ballinger ML, Best A, Mai PL, et al. Baseline Surveillance in Li-Fraumeni Syndrome Using Whole-Body Magnetic Resonance Imaging: A Meta-analysis. </w:t>
      </w:r>
      <w:r>
        <w:rPr>
          <w:rFonts w:ascii="Times New Roman" w:eastAsia="Times New Roman" w:hAnsi="Times New Roman" w:cs="Times New Roman"/>
          <w:i/>
          <w:sz w:val="24"/>
          <w:szCs w:val="24"/>
        </w:rPr>
        <w:t>JAMA Oncol</w:t>
      </w:r>
      <w:r>
        <w:rPr>
          <w:rFonts w:ascii="Times New Roman" w:eastAsia="Times New Roman" w:hAnsi="Times New Roman" w:cs="Times New Roman"/>
          <w:sz w:val="24"/>
          <w:szCs w:val="24"/>
        </w:rPr>
        <w:t>. 2017;3(12):1634-1639.</w:t>
      </w:r>
    </w:p>
    <w:p w14:paraId="00000016" w14:textId="77777777" w:rsidR="004A6D01" w:rsidRDefault="000F6511">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Mai PL, Best AF, Peters JA, et al. Risks of first and subsequent cancers among TP53 mutation carriers in the National Cancer Institute Li-Fraumeni syndrome cohort. </w:t>
      </w:r>
      <w:r>
        <w:rPr>
          <w:rFonts w:ascii="Times New Roman" w:eastAsia="Times New Roman" w:hAnsi="Times New Roman" w:cs="Times New Roman"/>
          <w:i/>
          <w:sz w:val="24"/>
          <w:szCs w:val="24"/>
        </w:rPr>
        <w:t>Cancer</w:t>
      </w:r>
      <w:r>
        <w:rPr>
          <w:rFonts w:ascii="Times New Roman" w:eastAsia="Times New Roman" w:hAnsi="Times New Roman" w:cs="Times New Roman"/>
          <w:sz w:val="24"/>
          <w:szCs w:val="24"/>
        </w:rPr>
        <w:t>. 2016;122(23):3673-3681.</w:t>
      </w:r>
    </w:p>
    <w:p w14:paraId="00000017" w14:textId="77777777" w:rsidR="004A6D01" w:rsidRDefault="000F6511">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Ruijs MWG, Loo CE, van Buchem C, Bleiker EMA, Sonke GS. Surveillance of Dutch Patients With Li-Fraumeni Syndrome: The LiFe-Guard Study. </w:t>
      </w:r>
      <w:r>
        <w:rPr>
          <w:rFonts w:ascii="Times New Roman" w:eastAsia="Times New Roman" w:hAnsi="Times New Roman" w:cs="Times New Roman"/>
          <w:i/>
          <w:sz w:val="24"/>
          <w:szCs w:val="24"/>
        </w:rPr>
        <w:t>JAMA Oncol.</w:t>
      </w:r>
      <w:r>
        <w:rPr>
          <w:rFonts w:ascii="Times New Roman" w:eastAsia="Times New Roman" w:hAnsi="Times New Roman" w:cs="Times New Roman"/>
          <w:sz w:val="24"/>
          <w:szCs w:val="24"/>
        </w:rPr>
        <w:t xml:space="preserve"> 2017;3(12):1733-1734.</w:t>
      </w:r>
    </w:p>
    <w:p w14:paraId="00000018" w14:textId="77777777" w:rsidR="004A6D01" w:rsidRDefault="000F6511">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Saya S, Killick E, Thomas S, et al. Baseline results from the UK SIGNIFY study: a whole-body MRI screening study in TP53 mutation carriers and matched controls. </w:t>
      </w:r>
      <w:r>
        <w:rPr>
          <w:rFonts w:ascii="Times New Roman" w:eastAsia="Times New Roman" w:hAnsi="Times New Roman" w:cs="Times New Roman"/>
          <w:i/>
          <w:sz w:val="24"/>
          <w:szCs w:val="24"/>
        </w:rPr>
        <w:t>Fam Cancer</w:t>
      </w:r>
      <w:r>
        <w:rPr>
          <w:rFonts w:ascii="Times New Roman" w:eastAsia="Times New Roman" w:hAnsi="Times New Roman" w:cs="Times New Roman"/>
          <w:sz w:val="24"/>
          <w:szCs w:val="24"/>
        </w:rPr>
        <w:t>. 2017;16(3):433-440.</w:t>
      </w:r>
    </w:p>
    <w:p w14:paraId="00000019" w14:textId="77777777" w:rsidR="004A6D01" w:rsidRDefault="000F6511">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 Villani A, Shore A, Wasserman JD, et al. Biochemical and imaging surveillance in germline TP53 mutation carriers with Li-Fraumeni syndrome: 11 year follow-up of a prospective observational study. </w:t>
      </w:r>
      <w:r>
        <w:rPr>
          <w:rFonts w:ascii="Times New Roman" w:eastAsia="Times New Roman" w:hAnsi="Times New Roman" w:cs="Times New Roman"/>
          <w:i/>
          <w:sz w:val="24"/>
          <w:szCs w:val="24"/>
        </w:rPr>
        <w:t>Lancet Oncol.</w:t>
      </w:r>
      <w:r>
        <w:rPr>
          <w:rFonts w:ascii="Times New Roman" w:eastAsia="Times New Roman" w:hAnsi="Times New Roman" w:cs="Times New Roman"/>
          <w:sz w:val="24"/>
          <w:szCs w:val="24"/>
        </w:rPr>
        <w:t xml:space="preserve"> 2016;17(9):1295-1305.</w:t>
      </w:r>
    </w:p>
    <w:p w14:paraId="0000001A" w14:textId="77777777" w:rsidR="004A6D01" w:rsidRDefault="000F6511">
      <w:pPr>
        <w:pStyle w:val="normal0"/>
        <w:pBdr>
          <w:top w:val="nil"/>
          <w:left w:val="nil"/>
          <w:bottom w:val="nil"/>
          <w:right w:val="nil"/>
          <w:between w:val="nil"/>
        </w:pBd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Anupindi, S.A., et al., Diagnostic Performance of Whole-Body MRI as a Tool for Cancer Screening in Children With Genetic Cancer-Predisposing Conditions. </w:t>
      </w:r>
      <w:r>
        <w:rPr>
          <w:rFonts w:ascii="Times New Roman" w:eastAsia="Times New Roman" w:hAnsi="Times New Roman" w:cs="Times New Roman"/>
          <w:i/>
          <w:sz w:val="24"/>
          <w:szCs w:val="24"/>
        </w:rPr>
        <w:t>AJR Am J Roentgenol</w:t>
      </w:r>
      <w:r>
        <w:rPr>
          <w:rFonts w:ascii="Times New Roman" w:eastAsia="Times New Roman" w:hAnsi="Times New Roman" w:cs="Times New Roman"/>
          <w:sz w:val="24"/>
          <w:szCs w:val="24"/>
        </w:rPr>
        <w:t>, 2015. 205(2): p. 400-8.</w:t>
      </w:r>
    </w:p>
    <w:p w14:paraId="0000001B" w14:textId="77777777" w:rsidR="004A6D01" w:rsidRDefault="000F6511">
      <w:pPr>
        <w:pStyle w:val="normal0"/>
        <w:pBdr>
          <w:top w:val="nil"/>
          <w:left w:val="nil"/>
          <w:bottom w:val="nil"/>
          <w:right w:val="nil"/>
          <w:between w:val="nil"/>
        </w:pBd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O'Neill, A.F., et al., Screening with whole-body magnetic resonance imaging in pediatric subjects with Li-Fraumeni syndrome: A single institution pilot study. </w:t>
      </w:r>
      <w:r>
        <w:rPr>
          <w:rFonts w:ascii="Times New Roman" w:eastAsia="Times New Roman" w:hAnsi="Times New Roman" w:cs="Times New Roman"/>
          <w:i/>
          <w:sz w:val="24"/>
          <w:szCs w:val="24"/>
        </w:rPr>
        <w:t>Pediatr Blood Cancer</w:t>
      </w:r>
      <w:r>
        <w:rPr>
          <w:rFonts w:ascii="Times New Roman" w:eastAsia="Times New Roman" w:hAnsi="Times New Roman" w:cs="Times New Roman"/>
          <w:sz w:val="24"/>
          <w:szCs w:val="24"/>
        </w:rPr>
        <w:t>, 2018. 65(2).</w:t>
      </w:r>
    </w:p>
    <w:p w14:paraId="0000001C" w14:textId="77777777" w:rsidR="004A6D01" w:rsidRDefault="000F6511">
      <w:pPr>
        <w:pStyle w:val="normal0"/>
        <w:pBdr>
          <w:top w:val="nil"/>
          <w:left w:val="nil"/>
          <w:bottom w:val="nil"/>
          <w:right w:val="nil"/>
          <w:between w:val="nil"/>
        </w:pBd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Paixão, D., et al., Whole-body magnetic resonance imaging of Li-Fraumeni syndrome patients: observations from a two rounds screening of Brazilian patients. </w:t>
      </w:r>
      <w:r>
        <w:rPr>
          <w:rFonts w:ascii="Times New Roman" w:eastAsia="Times New Roman" w:hAnsi="Times New Roman" w:cs="Times New Roman"/>
          <w:i/>
          <w:sz w:val="24"/>
          <w:szCs w:val="24"/>
        </w:rPr>
        <w:t>Cancer Imaging</w:t>
      </w:r>
      <w:r>
        <w:rPr>
          <w:rFonts w:ascii="Times New Roman" w:eastAsia="Times New Roman" w:hAnsi="Times New Roman" w:cs="Times New Roman"/>
          <w:sz w:val="24"/>
          <w:szCs w:val="24"/>
        </w:rPr>
        <w:t>, 2018. 18(1): p. 27.</w:t>
      </w:r>
    </w:p>
    <w:p w14:paraId="0000001D" w14:textId="77777777" w:rsidR="004A6D01" w:rsidRDefault="000F6511">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Tak CR, Biltaji E, Kohlmann W, et al. Cost-effectiveness of early cancer surveillance for patients with Li-Fraumeni syndrome. </w:t>
      </w:r>
      <w:r>
        <w:rPr>
          <w:rFonts w:ascii="Times New Roman" w:eastAsia="Times New Roman" w:hAnsi="Times New Roman" w:cs="Times New Roman"/>
          <w:i/>
          <w:sz w:val="24"/>
          <w:szCs w:val="24"/>
        </w:rPr>
        <w:t>Pediatr Blood Cancer.</w:t>
      </w:r>
      <w:r>
        <w:rPr>
          <w:rFonts w:ascii="Times New Roman" w:eastAsia="Times New Roman" w:hAnsi="Times New Roman" w:cs="Times New Roman"/>
          <w:sz w:val="24"/>
          <w:szCs w:val="24"/>
        </w:rPr>
        <w:t xml:space="preserve"> 2019;66(5):e27629.</w:t>
      </w:r>
    </w:p>
    <w:p w14:paraId="0000001E" w14:textId="77777777" w:rsidR="004A6D01" w:rsidRDefault="000F6511">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Goo HW. Regional and whole-body imaging in pediatric oncology. </w:t>
      </w:r>
      <w:r>
        <w:rPr>
          <w:rFonts w:ascii="Times New Roman" w:eastAsia="Times New Roman" w:hAnsi="Times New Roman" w:cs="Times New Roman"/>
          <w:i/>
          <w:sz w:val="24"/>
          <w:szCs w:val="24"/>
        </w:rPr>
        <w:t>Pediatr Radiol.</w:t>
      </w:r>
      <w:r>
        <w:rPr>
          <w:rFonts w:ascii="Times New Roman" w:eastAsia="Times New Roman" w:hAnsi="Times New Roman" w:cs="Times New Roman"/>
          <w:sz w:val="24"/>
          <w:szCs w:val="24"/>
        </w:rPr>
        <w:t xml:space="preserve"> 2011;41 Suppl 1:S186-194.</w:t>
      </w:r>
    </w:p>
    <w:p w14:paraId="0000001F" w14:textId="77777777" w:rsidR="004A6D01" w:rsidRDefault="000F6511">
      <w:pPr>
        <w:pStyle w:val="normal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Guimaraes MD, Noschang J, Teixeira SR, et al. Whole-body MRI in pediatric patients with cancer. </w:t>
      </w:r>
      <w:r>
        <w:rPr>
          <w:rFonts w:ascii="Times New Roman" w:eastAsia="Times New Roman" w:hAnsi="Times New Roman" w:cs="Times New Roman"/>
          <w:i/>
          <w:sz w:val="24"/>
          <w:szCs w:val="24"/>
        </w:rPr>
        <w:t>Cancer Imaging.</w:t>
      </w:r>
      <w:r>
        <w:rPr>
          <w:rFonts w:ascii="Times New Roman" w:eastAsia="Times New Roman" w:hAnsi="Times New Roman" w:cs="Times New Roman"/>
          <w:sz w:val="24"/>
          <w:szCs w:val="24"/>
        </w:rPr>
        <w:t xml:space="preserve"> 2017;17(1):6.</w:t>
      </w:r>
    </w:p>
    <w:p w14:paraId="00000020" w14:textId="77777777" w:rsidR="004A6D01" w:rsidRDefault="004A6D01">
      <w:pPr>
        <w:pStyle w:val="normal0"/>
        <w:ind w:left="720"/>
        <w:rPr>
          <w:rFonts w:ascii="Times New Roman" w:eastAsia="Times New Roman" w:hAnsi="Times New Roman" w:cs="Times New Roman"/>
          <w:sz w:val="24"/>
          <w:szCs w:val="24"/>
        </w:rPr>
      </w:pPr>
    </w:p>
    <w:p w14:paraId="00000021" w14:textId="77777777" w:rsidR="004A6D01" w:rsidRDefault="004A6D01">
      <w:pPr>
        <w:pStyle w:val="normal0"/>
        <w:rPr>
          <w:rFonts w:ascii="Times New Roman" w:eastAsia="Times New Roman" w:hAnsi="Times New Roman" w:cs="Times New Roman"/>
          <w:sz w:val="24"/>
          <w:szCs w:val="24"/>
        </w:rPr>
      </w:pPr>
    </w:p>
    <w:sectPr w:rsidR="004A6D0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4A6D01"/>
    <w:rsid w:val="000F6511"/>
    <w:rsid w:val="004A6D01"/>
    <w:rsid w:val="008A5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0F6511"/>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F6511"/>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0F6511"/>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F651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972</Words>
  <Characters>5545</Characters>
  <Application>Microsoft Macintosh Word</Application>
  <DocSecurity>0</DocSecurity>
  <Lines>46</Lines>
  <Paragraphs>13</Paragraphs>
  <ScaleCrop>false</ScaleCrop>
  <Company>Sabre</Company>
  <LinksUpToDate>false</LinksUpToDate>
  <CharactersWithSpaces>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Todd Tesseo</cp:lastModifiedBy>
  <cp:revision>2</cp:revision>
  <dcterms:created xsi:type="dcterms:W3CDTF">2022-07-12T17:59:00Z</dcterms:created>
  <dcterms:modified xsi:type="dcterms:W3CDTF">2022-07-12T17:59:00Z</dcterms:modified>
</cp:coreProperties>
</file>