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B2A92" w:rsidRDefault="00213500">
      <w:pPr>
        <w:pStyle w:val="norm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Coverage for Li-Fraumeni syndrome whole-body MRI</w:t>
      </w:r>
    </w:p>
    <w:p w14:paraId="00000002" w14:textId="77777777" w:rsidR="004B2A92" w:rsidRDefault="00213500">
      <w:pPr>
        <w:pStyle w:val="norm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policy info here]</w:t>
      </w:r>
    </w:p>
    <w:p w14:paraId="00000003"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To Whom It May Concern:</w:t>
      </w:r>
    </w:p>
    <w:p w14:paraId="00000005"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This letter is written on behalf of [</w:t>
      </w:r>
      <w:r>
        <w:rPr>
          <w:rFonts w:ascii="Times New Roman" w:eastAsia="Times New Roman" w:hAnsi="Times New Roman" w:cs="Times New Roman"/>
          <w:i/>
          <w:sz w:val="24"/>
          <w:szCs w:val="24"/>
        </w:rPr>
        <w:t xml:space="preserve">patient name] </w:t>
      </w:r>
      <w:r>
        <w:rPr>
          <w:rFonts w:ascii="Times New Roman" w:eastAsia="Times New Roman" w:hAnsi="Times New Roman" w:cs="Times New Roman"/>
          <w:sz w:val="24"/>
          <w:szCs w:val="24"/>
        </w:rPr>
        <w:t>regarding the decision to deny coverage for whole-body MRI (wbMRI). Know that sufficient evidence exists that wbMRI is necessary for optimal care and should be covered.</w:t>
      </w:r>
    </w:p>
    <w:p w14:paraId="00000007"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Li-Fraumeni syndrome (LFS) is a rare, hereditary predisposition to cancer caused by a</w:t>
      </w:r>
      <w:r>
        <w:rPr>
          <w:rFonts w:ascii="Times New Roman" w:eastAsia="Times New Roman" w:hAnsi="Times New Roman" w:cs="Times New Roman"/>
          <w:sz w:val="24"/>
          <w:szCs w:val="24"/>
        </w:rPr>
        <w:t xml:space="preserve"> germline mutation in the </w:t>
      </w:r>
      <w:r>
        <w:rPr>
          <w:rFonts w:ascii="Times New Roman" w:eastAsia="Times New Roman" w:hAnsi="Times New Roman" w:cs="Times New Roman"/>
          <w:i/>
          <w:sz w:val="24"/>
          <w:szCs w:val="24"/>
        </w:rPr>
        <w:t xml:space="preserve">TP53 </w:t>
      </w:r>
      <w:r>
        <w:rPr>
          <w:rFonts w:ascii="Times New Roman" w:eastAsia="Times New Roman" w:hAnsi="Times New Roman" w:cs="Times New Roman"/>
          <w:sz w:val="24"/>
          <w:szCs w:val="24"/>
        </w:rPr>
        <w:t>gene. Individuals with LFS are at increased risk to develop various cancers including sarcoma (soft-tissue and osteosarcoma), adrenocortical carcinoma, brain tumors, and early-onset breast cancers, as well as other types of c</w:t>
      </w:r>
      <w:r>
        <w:rPr>
          <w:rFonts w:ascii="Times New Roman" w:eastAsia="Times New Roman" w:hAnsi="Times New Roman" w:cs="Times New Roman"/>
          <w:sz w:val="24"/>
          <w:szCs w:val="24"/>
        </w:rPr>
        <w:t>ancers. In a recent study, 22% of individuals with LFS were diagnosed with cancer before 5 years of age and 41% by 18 years of age, with 4% developing a malignancy during the first year of life</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 xml:space="preserve">. </w:t>
      </w:r>
    </w:p>
    <w:p w14:paraId="00000009"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4B2A92" w:rsidRDefault="00213500">
      <w:pPr>
        <w:pStyle w:val="normal0"/>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Comprehensive cancer surveillance with wbMRI, brain MRI, </w:t>
      </w:r>
      <w:r>
        <w:rPr>
          <w:rFonts w:ascii="Times New Roman" w:eastAsia="Times New Roman" w:hAnsi="Times New Roman" w:cs="Times New Roman"/>
          <w:sz w:val="24"/>
          <w:szCs w:val="24"/>
        </w:rPr>
        <w:t xml:space="preserve">comprehensive bloodwork, and abdominal sonogram is recommended for children to detect cancers at early stages when they are most treatable and offer the best survival outcomes. </w:t>
      </w:r>
      <w:r>
        <w:rPr>
          <w:rFonts w:ascii="Times New Roman" w:eastAsia="Times New Roman" w:hAnsi="Times New Roman" w:cs="Times New Roman"/>
          <w:b/>
          <w:sz w:val="24"/>
          <w:szCs w:val="24"/>
        </w:rPr>
        <w:t>Published studies have shown that wbMRI is key to early cancer detection in thi</w:t>
      </w:r>
      <w:r>
        <w:rPr>
          <w:rFonts w:ascii="Times New Roman" w:eastAsia="Times New Roman" w:hAnsi="Times New Roman" w:cs="Times New Roman"/>
          <w:b/>
          <w:sz w:val="24"/>
          <w:szCs w:val="24"/>
        </w:rPr>
        <w:t>s population</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Whole body MRI has recently been included in eviCore’s PEDONC-2.2 Li Fraumeni Syndrome Screening policy for all patients utilizing CPT® 76498</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w:t>
      </w:r>
    </w:p>
    <w:p w14:paraId="0000000B"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In children and adolescents with LFS, osteosarcoma is the most common tumor (30%) followed by a</w:t>
      </w:r>
      <w:r>
        <w:rPr>
          <w:rFonts w:ascii="Times New Roman" w:eastAsia="Times New Roman" w:hAnsi="Times New Roman" w:cs="Times New Roman"/>
          <w:sz w:val="24"/>
          <w:szCs w:val="24"/>
        </w:rPr>
        <w:t>drenocortical carcinoma (27%), brain tumors (25%) and soft tissue sarcoma (23%)</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wbMRI is the most effective screening option in this high-risk pediatric patient population because it provides a comprehensive examination of the whole-body with a single te</w:t>
      </w:r>
      <w:r>
        <w:rPr>
          <w:rFonts w:ascii="Times New Roman" w:eastAsia="Times New Roman" w:hAnsi="Times New Roman" w:cs="Times New Roman"/>
          <w:sz w:val="24"/>
          <w:szCs w:val="24"/>
        </w:rPr>
        <w:t>st and does not require ionizing radiation, which is a known cancer risk factor in this population.</w:t>
      </w:r>
    </w:p>
    <w:p w14:paraId="0000000D" w14:textId="77777777" w:rsidR="004B2A92" w:rsidRDefault="004B2A92">
      <w:pPr>
        <w:pStyle w:val="normal0"/>
        <w:rPr>
          <w:rFonts w:ascii="Times New Roman" w:eastAsia="Times New Roman" w:hAnsi="Times New Roman" w:cs="Times New Roman"/>
          <w:sz w:val="24"/>
          <w:szCs w:val="24"/>
        </w:rPr>
      </w:pPr>
    </w:p>
    <w:p w14:paraId="0000000E" w14:textId="77777777" w:rsidR="004B2A92" w:rsidRDefault="00213500">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recent meta-analysis of baseline wbMRI showed that the detection of cancers was highest in those younger than 18 years (31%) compared with those aged 18 </w:t>
      </w:r>
      <w:r>
        <w:rPr>
          <w:rFonts w:ascii="Times New Roman" w:eastAsia="Times New Roman" w:hAnsi="Times New Roman" w:cs="Times New Roman"/>
          <w:b/>
          <w:sz w:val="24"/>
          <w:szCs w:val="24"/>
        </w:rPr>
        <w:t>to 40 years (16%) and those older than 40 years (18%)</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addition, a recent UK study detected malignant neoplasms in 14% of </w:t>
      </w:r>
      <w:r>
        <w:rPr>
          <w:rFonts w:ascii="Times New Roman" w:eastAsia="Times New Roman" w:hAnsi="Times New Roman" w:cs="Times New Roman"/>
          <w:i/>
          <w:sz w:val="24"/>
          <w:szCs w:val="24"/>
        </w:rPr>
        <w:t>TP53</w:t>
      </w:r>
      <w:r>
        <w:rPr>
          <w:rFonts w:ascii="Times New Roman" w:eastAsia="Times New Roman" w:hAnsi="Times New Roman" w:cs="Times New Roman"/>
          <w:sz w:val="24"/>
          <w:szCs w:val="24"/>
        </w:rPr>
        <w:t xml:space="preserve"> mutation carriers at baseline wbMRI suggesting that the detection rate for new malignancies with wbMRI may be higher in some populations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standardized wbMRI protocol has been proposed, and experts and consensus groups agree that there is clinical utili</w:t>
      </w:r>
      <w:r>
        <w:rPr>
          <w:rFonts w:ascii="Times New Roman" w:eastAsia="Times New Roman" w:hAnsi="Times New Roman" w:cs="Times New Roman"/>
          <w:b/>
          <w:sz w:val="24"/>
          <w:szCs w:val="24"/>
        </w:rPr>
        <w:t>ty for wbMRI in early detection of tumors which has been demonstrated to improve patient outcomes by identifying tumors at their earliest and most curable stages</w:t>
      </w:r>
      <w:r>
        <w:rPr>
          <w:rFonts w:ascii="Times New Roman" w:eastAsia="Times New Roman" w:hAnsi="Times New Roman" w:cs="Times New Roman"/>
          <w:b/>
          <w:sz w:val="24"/>
          <w:szCs w:val="24"/>
          <w:vertAlign w:val="superscript"/>
        </w:rPr>
        <w:t>5-10</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ability to screen for multiple cancers with a single examination in patients with LFS</w:t>
      </w:r>
      <w:r>
        <w:rPr>
          <w:rFonts w:ascii="Times New Roman" w:eastAsia="Times New Roman" w:hAnsi="Times New Roman" w:cs="Times New Roman"/>
          <w:sz w:val="24"/>
          <w:szCs w:val="24"/>
        </w:rPr>
        <w:t xml:space="preserve"> not only reduces the number of individual imaging tests required, but also the number of patient visits to an imaging service, thereby reducing related costs</w:t>
      </w:r>
      <w:r>
        <w:rPr>
          <w:rFonts w:ascii="Times New Roman" w:eastAsia="Times New Roman" w:hAnsi="Times New Roman" w:cs="Times New Roman"/>
          <w:sz w:val="24"/>
          <w:szCs w:val="24"/>
          <w:vertAlign w:val="superscript"/>
        </w:rPr>
        <w:t>11,12</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0000000F" w14:textId="77777777" w:rsidR="004B2A92" w:rsidRDefault="00213500">
      <w:pPr>
        <w:pStyle w:val="normal0"/>
        <w:spacing w:before="240" w:after="240"/>
        <w:rPr>
          <w:rFonts w:ascii="Times New Roman" w:eastAsia="Times New Roman" w:hAnsi="Times New Roman" w:cs="Times New Roman"/>
          <w:b/>
          <w:sz w:val="24"/>
          <w:szCs w:val="24"/>
          <w:highlight w:val="yellow"/>
        </w:rPr>
      </w:pPr>
      <w:r>
        <w:rPr>
          <w:rFonts w:ascii="Times New Roman" w:eastAsia="Times New Roman" w:hAnsi="Times New Roman" w:cs="Times New Roman"/>
          <w:b/>
          <w:color w:val="111111"/>
          <w:sz w:val="24"/>
          <w:szCs w:val="24"/>
        </w:rPr>
        <w:lastRenderedPageBreak/>
        <w:t>Pre-symptomatic cancer surveillance has been found to be cost-effective for patients with</w:t>
      </w:r>
      <w:r>
        <w:rPr>
          <w:rFonts w:ascii="Times New Roman" w:eastAsia="Times New Roman" w:hAnsi="Times New Roman" w:cs="Times New Roman"/>
          <w:b/>
          <w:color w:val="111111"/>
          <w:sz w:val="24"/>
          <w:szCs w:val="24"/>
        </w:rPr>
        <w:t xml:space="preserve"> germline </w:t>
      </w:r>
      <w:r>
        <w:rPr>
          <w:rFonts w:ascii="Times New Roman" w:eastAsia="Times New Roman" w:hAnsi="Times New Roman" w:cs="Times New Roman"/>
          <w:b/>
          <w:i/>
          <w:color w:val="111111"/>
          <w:sz w:val="24"/>
          <w:szCs w:val="24"/>
        </w:rPr>
        <w:t>TP53</w:t>
      </w:r>
      <w:r>
        <w:rPr>
          <w:rFonts w:ascii="Times New Roman" w:eastAsia="Times New Roman" w:hAnsi="Times New Roman" w:cs="Times New Roman"/>
          <w:b/>
          <w:color w:val="111111"/>
          <w:sz w:val="24"/>
          <w:szCs w:val="24"/>
        </w:rPr>
        <w:t xml:space="preserve"> pathogenic variants</w:t>
      </w:r>
      <w:r>
        <w:rPr>
          <w:rFonts w:ascii="Times New Roman" w:eastAsia="Times New Roman" w:hAnsi="Times New Roman" w:cs="Times New Roman"/>
          <w:color w:val="111111"/>
          <w:sz w:val="24"/>
          <w:szCs w:val="24"/>
        </w:rPr>
        <w:t xml:space="preserve"> with a mean cost of $117,102 and 27 life years for surveillance with wbMRI compared to a mean cost of $46,496 and 23 life years for a non-surveillance approach</w:t>
      </w:r>
      <w:r>
        <w:rPr>
          <w:rFonts w:ascii="Times New Roman" w:eastAsia="Times New Roman" w:hAnsi="Times New Roman" w:cs="Times New Roman"/>
          <w:color w:val="111111"/>
          <w:sz w:val="24"/>
          <w:szCs w:val="24"/>
          <w:vertAlign w:val="superscript"/>
        </w:rPr>
        <w:t>13</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When measured against the commonly accepted willingness-to</w:t>
      </w:r>
      <w:r>
        <w:rPr>
          <w:rFonts w:ascii="Times New Roman" w:eastAsia="Times New Roman" w:hAnsi="Times New Roman" w:cs="Times New Roman"/>
          <w:sz w:val="24"/>
          <w:szCs w:val="24"/>
        </w:rPr>
        <w:t>-pay threshold of $100,000 per life-year gained by third-party insurers,</w:t>
      </w:r>
      <w:r>
        <w:rPr>
          <w:rFonts w:ascii="Times New Roman" w:eastAsia="Times New Roman" w:hAnsi="Times New Roman" w:cs="Times New Roman"/>
          <w:b/>
          <w:sz w:val="24"/>
          <w:szCs w:val="24"/>
        </w:rPr>
        <w:t xml:space="preserve"> the surveillance strategy that includes wbMRI has a 98% probability of being the most cost-effective option for early cancer detection for individuals with LFS, and one that improves </w:t>
      </w:r>
      <w:r>
        <w:rPr>
          <w:rFonts w:ascii="Times New Roman" w:eastAsia="Times New Roman" w:hAnsi="Times New Roman" w:cs="Times New Roman"/>
          <w:b/>
          <w:sz w:val="24"/>
          <w:szCs w:val="24"/>
        </w:rPr>
        <w:t>clinical outcomes</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 xml:space="preserve">. </w:t>
      </w:r>
    </w:p>
    <w:p w14:paraId="00000010" w14:textId="77777777" w:rsidR="004B2A92" w:rsidRDefault="00213500">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Li-Fraumeni Syndrome Association’s board of directors, along with its Medical Advisory Board of top LFS researchers and providers, have determined there is sufﬁcient evidence to recommend that, in addition to regular physical exams and other investigat</w:t>
      </w:r>
      <w:r>
        <w:rPr>
          <w:rFonts w:ascii="Times New Roman" w:eastAsia="Times New Roman" w:hAnsi="Times New Roman" w:cs="Times New Roman"/>
          <w:sz w:val="24"/>
          <w:szCs w:val="24"/>
        </w:rPr>
        <w:t>ions, all patients diagnosed with Li-Fraumeni syndrome receive annual, rapid, whole-body MRI scans.</w:t>
      </w:r>
    </w:p>
    <w:p w14:paraId="00000011" w14:textId="77777777" w:rsidR="004B2A92" w:rsidRDefault="00213500">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increasingly robust evidence demonstrating the reduction in cancer-related mortality and improved survival associated with wbMRI for LFS</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We beli</w:t>
      </w:r>
      <w:r>
        <w:rPr>
          <w:rFonts w:ascii="Times New Roman" w:eastAsia="Times New Roman" w:hAnsi="Times New Roman" w:cs="Times New Roman"/>
          <w:sz w:val="24"/>
          <w:szCs w:val="24"/>
        </w:rPr>
        <w:t>eve the body of evidence demonstrating the feasibility of wbMRI to detect early resectable cancers in LFS patients is more than sufficient to support the coverage of wbMRI for [</w:t>
      </w:r>
      <w:r>
        <w:rPr>
          <w:rFonts w:ascii="Times New Roman" w:eastAsia="Times New Roman" w:hAnsi="Times New Roman" w:cs="Times New Roman"/>
          <w:i/>
          <w:sz w:val="24"/>
          <w:szCs w:val="24"/>
        </w:rPr>
        <w:t>patient name</w:t>
      </w:r>
      <w:r>
        <w:rPr>
          <w:rFonts w:ascii="Times New Roman" w:eastAsia="Times New Roman" w:hAnsi="Times New Roman" w:cs="Times New Roman"/>
          <w:sz w:val="24"/>
          <w:szCs w:val="24"/>
        </w:rPr>
        <w:t>]. The CPT code(s) used for billing are [</w:t>
      </w:r>
      <w:r>
        <w:rPr>
          <w:rFonts w:ascii="Times New Roman" w:eastAsia="Times New Roman" w:hAnsi="Times New Roman" w:cs="Times New Roman"/>
          <w:i/>
          <w:sz w:val="24"/>
          <w:szCs w:val="24"/>
        </w:rPr>
        <w:t>CPT code(s)</w:t>
      </w:r>
      <w:r>
        <w:rPr>
          <w:rFonts w:ascii="Times New Roman" w:eastAsia="Times New Roman" w:hAnsi="Times New Roman" w:cs="Times New Roman"/>
          <w:sz w:val="24"/>
          <w:szCs w:val="24"/>
        </w:rPr>
        <w:t xml:space="preserve">]. If you have </w:t>
      </w:r>
      <w:r>
        <w:rPr>
          <w:rFonts w:ascii="Times New Roman" w:eastAsia="Times New Roman" w:hAnsi="Times New Roman" w:cs="Times New Roman"/>
          <w:sz w:val="24"/>
          <w:szCs w:val="24"/>
        </w:rPr>
        <w:t>any questions regarding this request or need further information please contact us at [</w:t>
      </w:r>
      <w:r>
        <w:rPr>
          <w:rFonts w:ascii="Times New Roman" w:eastAsia="Times New Roman" w:hAnsi="Times New Roman" w:cs="Times New Roman"/>
          <w:i/>
          <w:sz w:val="24"/>
          <w:szCs w:val="24"/>
        </w:rPr>
        <w:t>contact information</w:t>
      </w:r>
      <w:r>
        <w:rPr>
          <w:rFonts w:ascii="Times New Roman" w:eastAsia="Times New Roman" w:hAnsi="Times New Roman" w:cs="Times New Roman"/>
          <w:sz w:val="24"/>
          <w:szCs w:val="24"/>
        </w:rPr>
        <w:t>].</w:t>
      </w:r>
    </w:p>
    <w:p w14:paraId="00000012" w14:textId="77777777" w:rsidR="004B2A92" w:rsidRDefault="00213500">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3" w14:textId="77777777" w:rsidR="004B2A92" w:rsidRDefault="00213500">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Name</w:t>
      </w:r>
      <w:r>
        <w:rPr>
          <w:rFonts w:ascii="Times New Roman" w:eastAsia="Times New Roman" w:hAnsi="Times New Roman" w:cs="Times New Roman"/>
          <w:sz w:val="24"/>
          <w:szCs w:val="24"/>
        </w:rPr>
        <w:t>]</w:t>
      </w:r>
    </w:p>
    <w:p w14:paraId="00000014" w14:textId="77777777" w:rsidR="004B2A92" w:rsidRDefault="00213500">
      <w:pPr>
        <w:pStyle w:val="normal0"/>
        <w:jc w:val="center"/>
        <w:rPr>
          <w:rFonts w:ascii="Times New Roman" w:eastAsia="Times New Roman" w:hAnsi="Times New Roman" w:cs="Times New Roman"/>
          <w:i/>
        </w:rPr>
      </w:pPr>
      <w:r>
        <w:rPr>
          <w:rFonts w:ascii="Times New Roman" w:eastAsia="Times New Roman" w:hAnsi="Times New Roman" w:cs="Times New Roman"/>
          <w:i/>
        </w:rPr>
        <w:t xml:space="preserve"> </w:t>
      </w:r>
    </w:p>
    <w:p w14:paraId="00000015" w14:textId="77777777" w:rsidR="004B2A92" w:rsidRDefault="00213500">
      <w:pPr>
        <w:pStyle w:val="normal0"/>
        <w:jc w:val="center"/>
        <w:rPr>
          <w:rFonts w:ascii="Times New Roman" w:eastAsia="Times New Roman" w:hAnsi="Times New Roman" w:cs="Times New Roman"/>
          <w:i/>
        </w:rPr>
      </w:pPr>
      <w:r>
        <w:rPr>
          <w:rFonts w:ascii="Times New Roman" w:eastAsia="Times New Roman" w:hAnsi="Times New Roman" w:cs="Times New Roman"/>
          <w:i/>
        </w:rPr>
        <w:t xml:space="preserve"> </w:t>
      </w:r>
    </w:p>
    <w:p w14:paraId="00000016" w14:textId="77777777" w:rsidR="004B2A92" w:rsidRDefault="00213500">
      <w:pPr>
        <w:pStyle w:val="normal0"/>
        <w:jc w:val="center"/>
        <w:rPr>
          <w:rFonts w:ascii="Times New Roman" w:eastAsia="Times New Roman" w:hAnsi="Times New Roman" w:cs="Times New Roman"/>
          <w:i/>
        </w:rPr>
      </w:pPr>
      <w:r>
        <w:rPr>
          <w:rFonts w:ascii="Times New Roman" w:eastAsia="Times New Roman" w:hAnsi="Times New Roman" w:cs="Times New Roman"/>
          <w:sz w:val="24"/>
          <w:szCs w:val="24"/>
        </w:rPr>
        <w:t>References</w:t>
      </w:r>
    </w:p>
    <w:p w14:paraId="00000017" w14:textId="77777777" w:rsidR="004B2A92" w:rsidRDefault="00213500">
      <w:pPr>
        <w:pStyle w:val="normal0"/>
        <w:jc w:val="center"/>
        <w:rPr>
          <w:rFonts w:ascii="Times New Roman" w:eastAsia="Times New Roman" w:hAnsi="Times New Roman" w:cs="Times New Roman"/>
          <w:i/>
        </w:rPr>
      </w:pPr>
      <w:r>
        <w:rPr>
          <w:rFonts w:ascii="Times New Roman" w:eastAsia="Times New Roman" w:hAnsi="Times New Roman" w:cs="Times New Roman"/>
          <w:i/>
        </w:rPr>
        <w:t xml:space="preserve"> </w:t>
      </w:r>
    </w:p>
    <w:p w14:paraId="00000018" w14:textId="77777777" w:rsidR="004B2A92" w:rsidRDefault="00213500">
      <w:pPr>
        <w:pStyle w:val="normal0"/>
      </w:pPr>
      <w:r>
        <w:t xml:space="preserve"> </w:t>
      </w:r>
    </w:p>
    <w:p w14:paraId="00000019"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1.Bougeard G, Renaux-Petel M, Flaman JM, et al. Revisiting Li-Fraumeni Syndrome From TP53 Mutation Carriers. </w:t>
      </w:r>
      <w:r>
        <w:rPr>
          <w:rFonts w:ascii="Times New Roman" w:eastAsia="Times New Roman" w:hAnsi="Times New Roman" w:cs="Times New Roman"/>
          <w:i/>
          <w:sz w:val="24"/>
          <w:szCs w:val="24"/>
        </w:rPr>
        <w:t>J</w:t>
      </w:r>
      <w:r>
        <w:rPr>
          <w:rFonts w:ascii="Times New Roman" w:eastAsia="Times New Roman" w:hAnsi="Times New Roman" w:cs="Times New Roman"/>
          <w:i/>
          <w:sz w:val="24"/>
          <w:szCs w:val="24"/>
        </w:rPr>
        <w:t xml:space="preserve"> Clin Oncol.</w:t>
      </w:r>
      <w:r>
        <w:rPr>
          <w:rFonts w:ascii="Times New Roman" w:eastAsia="Times New Roman" w:hAnsi="Times New Roman" w:cs="Times New Roman"/>
          <w:sz w:val="24"/>
          <w:szCs w:val="24"/>
        </w:rPr>
        <w:t xml:space="preserve"> 2015;33(21):2345-2352.</w:t>
      </w:r>
    </w:p>
    <w:p w14:paraId="0000001A"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Ballinger ML, Best A, Mai PL, et al. Baseline Surveillance in Li-Fraumeni Syndrome Using Whole-Body Magnetic Resonance Imaging: A Meta-analysis. </w:t>
      </w:r>
      <w:r>
        <w:rPr>
          <w:rFonts w:ascii="Times New Roman" w:eastAsia="Times New Roman" w:hAnsi="Times New Roman" w:cs="Times New Roman"/>
          <w:i/>
          <w:sz w:val="24"/>
          <w:szCs w:val="24"/>
        </w:rPr>
        <w:t>JAMA Oncol</w:t>
      </w:r>
      <w:r>
        <w:rPr>
          <w:rFonts w:ascii="Times New Roman" w:eastAsia="Times New Roman" w:hAnsi="Times New Roman" w:cs="Times New Roman"/>
          <w:sz w:val="24"/>
          <w:szCs w:val="24"/>
        </w:rPr>
        <w:t>. 2017;3(12):1634-1639.</w:t>
      </w:r>
    </w:p>
    <w:p w14:paraId="0000001B"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eviCore Healthcare. (2022, April 11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Pediatric Oncology Imaging Policy. </w:t>
      </w:r>
      <w:hyperlink r:id="rId5">
        <w:r>
          <w:rPr>
            <w:rFonts w:ascii="Times New Roman" w:eastAsia="Times New Roman" w:hAnsi="Times New Roman" w:cs="Times New Roman"/>
            <w:sz w:val="24"/>
            <w:szCs w:val="24"/>
          </w:rPr>
          <w:t>https://www.evicore.com/-/media/files/evicor</w:t>
        </w:r>
        <w:r>
          <w:rPr>
            <w:rFonts w:ascii="Times New Roman" w:eastAsia="Times New Roman" w:hAnsi="Times New Roman" w:cs="Times New Roman"/>
            <w:sz w:val="24"/>
            <w:szCs w:val="24"/>
          </w:rPr>
          <w:t>e/clinical-guidelines/solution/cardiology-and-radiology/2020/evicore_pediatriconcology_eff021420_pub101519.pdf</w:t>
        </w:r>
      </w:hyperlink>
    </w:p>
    <w:p w14:paraId="0000001C"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Saya S, Killick E, Thomas S, et al. Baseline results from the UK SIGNIFY study: a whole-body MRI screening study in TP53 mutation carriers and matched controls. </w:t>
      </w:r>
      <w:r>
        <w:rPr>
          <w:rFonts w:ascii="Times New Roman" w:eastAsia="Times New Roman" w:hAnsi="Times New Roman" w:cs="Times New Roman"/>
          <w:i/>
          <w:sz w:val="24"/>
          <w:szCs w:val="24"/>
        </w:rPr>
        <w:t xml:space="preserve">Fam Cancer. </w:t>
      </w:r>
      <w:r>
        <w:rPr>
          <w:rFonts w:ascii="Times New Roman" w:eastAsia="Times New Roman" w:hAnsi="Times New Roman" w:cs="Times New Roman"/>
          <w:sz w:val="24"/>
          <w:szCs w:val="24"/>
        </w:rPr>
        <w:t>2017;16(3):433-440.</w:t>
      </w:r>
    </w:p>
    <w:p w14:paraId="0000001D"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Greer MC, Voss SD, States LJ. Pediatric Cancer Predisposi</w:t>
      </w:r>
      <w:r>
        <w:rPr>
          <w:rFonts w:ascii="Times New Roman" w:eastAsia="Times New Roman" w:hAnsi="Times New Roman" w:cs="Times New Roman"/>
          <w:sz w:val="24"/>
          <w:szCs w:val="24"/>
        </w:rPr>
        <w:t xml:space="preserve">tion Imaging: Focus on Whole-Body MRI. </w:t>
      </w:r>
      <w:r>
        <w:rPr>
          <w:rFonts w:ascii="Times New Roman" w:eastAsia="Times New Roman" w:hAnsi="Times New Roman" w:cs="Times New Roman"/>
          <w:i/>
          <w:sz w:val="24"/>
          <w:szCs w:val="24"/>
        </w:rPr>
        <w:t>Clin Cancer Res.</w:t>
      </w:r>
      <w:r>
        <w:rPr>
          <w:rFonts w:ascii="Times New Roman" w:eastAsia="Times New Roman" w:hAnsi="Times New Roman" w:cs="Times New Roman"/>
          <w:sz w:val="24"/>
          <w:szCs w:val="24"/>
        </w:rPr>
        <w:t xml:space="preserve"> 2017;23(11):e6-e13.</w:t>
      </w:r>
    </w:p>
    <w:p w14:paraId="0000001E"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Kratz CP, Achatz MI, Brugieres L, et al. Cancer Screening Recommendations for Individuals with Li-Fraumeni Syndrome. </w:t>
      </w:r>
      <w:r>
        <w:rPr>
          <w:rFonts w:ascii="Times New Roman" w:eastAsia="Times New Roman" w:hAnsi="Times New Roman" w:cs="Times New Roman"/>
          <w:i/>
          <w:sz w:val="24"/>
          <w:szCs w:val="24"/>
        </w:rPr>
        <w:t>Clin Cancer Res.</w:t>
      </w:r>
      <w:r>
        <w:rPr>
          <w:rFonts w:ascii="Times New Roman" w:eastAsia="Times New Roman" w:hAnsi="Times New Roman" w:cs="Times New Roman"/>
          <w:sz w:val="24"/>
          <w:szCs w:val="24"/>
        </w:rPr>
        <w:t xml:space="preserve"> 2017;23(11):e38-e45.</w:t>
      </w:r>
    </w:p>
    <w:p w14:paraId="0000001F"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 Anupindi SA, Bedoya</w:t>
      </w:r>
      <w:r>
        <w:rPr>
          <w:rFonts w:ascii="Times New Roman" w:eastAsia="Times New Roman" w:hAnsi="Times New Roman" w:cs="Times New Roman"/>
          <w:sz w:val="24"/>
          <w:szCs w:val="24"/>
        </w:rPr>
        <w:t xml:space="preserve"> MA, Lindell RB, et al. Diagnostic Performance of Whole-Body MRI as a Tool for Cancer Screening in Children With Genetic Cancer-Predisposing Conditions. </w:t>
      </w:r>
      <w:r>
        <w:rPr>
          <w:rFonts w:ascii="Times New Roman" w:eastAsia="Times New Roman" w:hAnsi="Times New Roman" w:cs="Times New Roman"/>
          <w:i/>
          <w:sz w:val="24"/>
          <w:szCs w:val="24"/>
        </w:rPr>
        <w:t>AJR Am J Roentgenol</w:t>
      </w:r>
      <w:r>
        <w:rPr>
          <w:rFonts w:ascii="Times New Roman" w:eastAsia="Times New Roman" w:hAnsi="Times New Roman" w:cs="Times New Roman"/>
          <w:sz w:val="24"/>
          <w:szCs w:val="24"/>
        </w:rPr>
        <w:t>. 2015;205(2):400-408.</w:t>
      </w:r>
    </w:p>
    <w:p w14:paraId="00000020"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 Friedman DN, Lis E, Sklar CA, et al. Whole-body magnetic r</w:t>
      </w:r>
      <w:r>
        <w:rPr>
          <w:rFonts w:ascii="Times New Roman" w:eastAsia="Times New Roman" w:hAnsi="Times New Roman" w:cs="Times New Roman"/>
          <w:sz w:val="24"/>
          <w:szCs w:val="24"/>
        </w:rPr>
        <w:t xml:space="preserve">esonance imaging (WB-MRI) as surveillance for subsequent malignancies in survivors of hereditary retinoblastoma: a pilot study. </w:t>
      </w:r>
      <w:r>
        <w:rPr>
          <w:rFonts w:ascii="Times New Roman" w:eastAsia="Times New Roman" w:hAnsi="Times New Roman" w:cs="Times New Roman"/>
          <w:i/>
          <w:sz w:val="24"/>
          <w:szCs w:val="24"/>
        </w:rPr>
        <w:t>Pediatr Blood Cancer.</w:t>
      </w:r>
      <w:r>
        <w:rPr>
          <w:rFonts w:ascii="Times New Roman" w:eastAsia="Times New Roman" w:hAnsi="Times New Roman" w:cs="Times New Roman"/>
          <w:sz w:val="24"/>
          <w:szCs w:val="24"/>
        </w:rPr>
        <w:t xml:space="preserve"> 2014;61(8):1440-1444.</w:t>
      </w:r>
    </w:p>
    <w:p w14:paraId="00000021"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Jasperson KW, Kohlmann W, Gammon A, et al. Role of rapid sequence whole-body MRI screening in SDH-associated hereditary paraganglioma families. </w:t>
      </w:r>
      <w:r>
        <w:rPr>
          <w:rFonts w:ascii="Times New Roman" w:eastAsia="Times New Roman" w:hAnsi="Times New Roman" w:cs="Times New Roman"/>
          <w:i/>
          <w:sz w:val="24"/>
          <w:szCs w:val="24"/>
        </w:rPr>
        <w:t>Fam Cancer.</w:t>
      </w:r>
      <w:r>
        <w:rPr>
          <w:rFonts w:ascii="Times New Roman" w:eastAsia="Times New Roman" w:hAnsi="Times New Roman" w:cs="Times New Roman"/>
          <w:sz w:val="24"/>
          <w:szCs w:val="24"/>
        </w:rPr>
        <w:t xml:space="preserve"> 2014;13(2):257-265.</w:t>
      </w:r>
    </w:p>
    <w:p w14:paraId="00000022"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10.Villani A, Shore A, Wasserman JD, et al. Biochemical and imaging surveilla</w:t>
      </w:r>
      <w:r>
        <w:rPr>
          <w:rFonts w:ascii="Times New Roman" w:eastAsia="Times New Roman" w:hAnsi="Times New Roman" w:cs="Times New Roman"/>
          <w:sz w:val="24"/>
          <w:szCs w:val="24"/>
        </w:rPr>
        <w:t xml:space="preserve">nce in germline TP53 mutation carriers with Li-Fraumeni syndrome: 11 year follow-up of a prospective observational study. </w:t>
      </w:r>
      <w:r>
        <w:rPr>
          <w:rFonts w:ascii="Times New Roman" w:eastAsia="Times New Roman" w:hAnsi="Times New Roman" w:cs="Times New Roman"/>
          <w:i/>
          <w:sz w:val="24"/>
          <w:szCs w:val="24"/>
        </w:rPr>
        <w:t>Lancet Oncol.</w:t>
      </w:r>
      <w:r>
        <w:rPr>
          <w:rFonts w:ascii="Times New Roman" w:eastAsia="Times New Roman" w:hAnsi="Times New Roman" w:cs="Times New Roman"/>
          <w:sz w:val="24"/>
          <w:szCs w:val="24"/>
        </w:rPr>
        <w:t xml:space="preserve"> 2016;17(9):1295-1305.</w:t>
      </w:r>
    </w:p>
    <w:p w14:paraId="00000023"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Goo HW. Regional and whole-body imaging in pediatric oncology. </w:t>
      </w:r>
      <w:r>
        <w:rPr>
          <w:rFonts w:ascii="Times New Roman" w:eastAsia="Times New Roman" w:hAnsi="Times New Roman" w:cs="Times New Roman"/>
          <w:i/>
          <w:sz w:val="24"/>
          <w:szCs w:val="24"/>
        </w:rPr>
        <w:t>Pediatr Radiol.</w:t>
      </w:r>
      <w:r>
        <w:rPr>
          <w:rFonts w:ascii="Times New Roman" w:eastAsia="Times New Roman" w:hAnsi="Times New Roman" w:cs="Times New Roman"/>
          <w:sz w:val="24"/>
          <w:szCs w:val="24"/>
        </w:rPr>
        <w:t xml:space="preserve"> 2011;41 Suppl 1</w:t>
      </w:r>
      <w:r>
        <w:rPr>
          <w:rFonts w:ascii="Times New Roman" w:eastAsia="Times New Roman" w:hAnsi="Times New Roman" w:cs="Times New Roman"/>
          <w:sz w:val="24"/>
          <w:szCs w:val="24"/>
        </w:rPr>
        <w:t>:S186-194.</w:t>
      </w:r>
    </w:p>
    <w:p w14:paraId="00000024"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Guimaraes MD, Noschang J, Teixeira SR, et al. Whole-body MRI in pediatric patients with cancer. </w:t>
      </w:r>
      <w:r>
        <w:rPr>
          <w:rFonts w:ascii="Times New Roman" w:eastAsia="Times New Roman" w:hAnsi="Times New Roman" w:cs="Times New Roman"/>
          <w:i/>
          <w:sz w:val="24"/>
          <w:szCs w:val="24"/>
        </w:rPr>
        <w:t>Cancer Imaging.</w:t>
      </w:r>
      <w:r>
        <w:rPr>
          <w:rFonts w:ascii="Times New Roman" w:eastAsia="Times New Roman" w:hAnsi="Times New Roman" w:cs="Times New Roman"/>
          <w:sz w:val="24"/>
          <w:szCs w:val="24"/>
        </w:rPr>
        <w:t xml:space="preserve"> 2017;17(1):6.</w:t>
      </w:r>
    </w:p>
    <w:p w14:paraId="00000025" w14:textId="77777777" w:rsidR="004B2A92" w:rsidRDefault="00213500">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 Tak CR, Biltaji E, Kohlmann W, et al. Cost-effectiveness of early cancer surveillance for patients with Li-Frau</w:t>
      </w:r>
      <w:r>
        <w:rPr>
          <w:rFonts w:ascii="Times New Roman" w:eastAsia="Times New Roman" w:hAnsi="Times New Roman" w:cs="Times New Roman"/>
          <w:sz w:val="24"/>
          <w:szCs w:val="24"/>
        </w:rPr>
        <w:t xml:space="preserve">meni syndrome. </w:t>
      </w:r>
      <w:r>
        <w:rPr>
          <w:rFonts w:ascii="Times New Roman" w:eastAsia="Times New Roman" w:hAnsi="Times New Roman" w:cs="Times New Roman"/>
          <w:i/>
          <w:sz w:val="24"/>
          <w:szCs w:val="24"/>
        </w:rPr>
        <w:t>Pediatr Blood Cancer.</w:t>
      </w:r>
      <w:r>
        <w:rPr>
          <w:rFonts w:ascii="Times New Roman" w:eastAsia="Times New Roman" w:hAnsi="Times New Roman" w:cs="Times New Roman"/>
          <w:sz w:val="24"/>
          <w:szCs w:val="24"/>
        </w:rPr>
        <w:t xml:space="preserve"> 2019;66(5):e27629.</w:t>
      </w:r>
    </w:p>
    <w:sectPr w:rsidR="004B2A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B2A92"/>
    <w:rsid w:val="00213500"/>
    <w:rsid w:val="004B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vicore.com/-/media/files/evicore/clinical-guidelines/solution/cardiology-and-radiology/2020/evicore_pediatriconcology_eff021420_pub101519.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5776</Characters>
  <Application>Microsoft Macintosh Word</Application>
  <DocSecurity>0</DocSecurity>
  <Lines>48</Lines>
  <Paragraphs>13</Paragraphs>
  <ScaleCrop>false</ScaleCrop>
  <Company>Sabre</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Tesseo</cp:lastModifiedBy>
  <cp:revision>2</cp:revision>
  <dcterms:created xsi:type="dcterms:W3CDTF">2022-07-12T17:58:00Z</dcterms:created>
  <dcterms:modified xsi:type="dcterms:W3CDTF">2022-07-12T17:58:00Z</dcterms:modified>
</cp:coreProperties>
</file>